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2790" w:leader="none"/>
        </w:tabs>
        <w:spacing w:before="72" w:after="0" w:line="441"/>
        <w:ind w:right="1620" w:left="2790" w:firstLine="345"/>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ROYAL</w:t>
      </w:r>
      <w:r>
        <w:rPr>
          <w:rFonts w:ascii="Times New Roman" w:hAnsi="Times New Roman" w:cs="Times New Roman" w:eastAsia="Times New Roman"/>
          <w:b/>
          <w:color w:val="auto"/>
          <w:spacing w:val="-1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UNIVERSITY</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OF</w:t>
      </w:r>
      <w:r>
        <w:rPr>
          <w:rFonts w:ascii="Times New Roman" w:hAnsi="Times New Roman" w:cs="Times New Roman" w:eastAsia="Times New Roman"/>
          <w:b/>
          <w:color w:val="auto"/>
          <w:spacing w:val="-6"/>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BHUTAN</w:t>
      </w:r>
      <w:r>
        <w:rPr>
          <w:rFonts w:ascii="Times New Roman" w:hAnsi="Times New Roman" w:cs="Times New Roman" w:eastAsia="Times New Roman"/>
          <w:b/>
          <w:color w:val="auto"/>
          <w:spacing w:val="-57"/>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POSITION</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PROFILE</w:t>
      </w:r>
    </w:p>
    <w:p>
      <w:pPr>
        <w:spacing w:before="1" w:after="0" w:line="276"/>
        <w:ind w:right="0" w:left="0" w:firstLine="0"/>
        <w:jc w:val="both"/>
        <w:rPr>
          <w:rFonts w:ascii="Times New Roman" w:hAnsi="Times New Roman" w:cs="Times New Roman" w:eastAsia="Times New Roman"/>
          <w:b/>
          <w:color w:val="auto"/>
          <w:spacing w:val="0"/>
          <w:position w:val="0"/>
          <w:sz w:val="24"/>
          <w:shd w:fill="auto" w:val="clear"/>
        </w:rPr>
      </w:pPr>
    </w:p>
    <w:p>
      <w:pPr>
        <w:tabs>
          <w:tab w:val="left" w:pos="940" w:leader="none"/>
          <w:tab w:val="left" w:pos="941" w:leader="none"/>
        </w:tabs>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Job</w:t>
      </w:r>
      <w:r>
        <w:rPr>
          <w:rFonts w:ascii="Times New Roman" w:hAnsi="Times New Roman" w:cs="Times New Roman" w:eastAsia="Times New Roman"/>
          <w:b/>
          <w:color w:val="auto"/>
          <w:spacing w:val="-8"/>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Identification:</w:t>
      </w:r>
    </w:p>
    <w:p>
      <w:pPr>
        <w:numPr>
          <w:ilvl w:val="0"/>
          <w:numId w:val="4"/>
        </w:numPr>
        <w:tabs>
          <w:tab w:val="left" w:pos="940" w:leader="none"/>
          <w:tab w:val="left" w:pos="941" w:leader="none"/>
          <w:tab w:val="left" w:pos="3821" w:leader="none"/>
        </w:tabs>
        <w:spacing w:before="227" w:after="0" w:line="240"/>
        <w:ind w:right="0" w:left="941" w:hanging="72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Position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Title:</w:t>
        <w:tab/>
        <w:t xml:space="preserve">Dean</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Academics</w:t>
      </w:r>
    </w:p>
    <w:p>
      <w:pPr>
        <w:numPr>
          <w:ilvl w:val="0"/>
          <w:numId w:val="4"/>
        </w:numPr>
        <w:tabs>
          <w:tab w:val="left" w:pos="940" w:leader="none"/>
          <w:tab w:val="left" w:pos="941" w:leader="none"/>
          <w:tab w:val="left" w:pos="3821" w:leader="none"/>
        </w:tabs>
        <w:spacing w:before="136" w:after="0" w:line="240"/>
        <w:ind w:right="0" w:left="941" w:hanging="72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Position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Level:</w:t>
        <w:tab/>
        <w:t xml:space="preserve">4</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&amp;</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above</w:t>
      </w:r>
    </w:p>
    <w:p>
      <w:pPr>
        <w:numPr>
          <w:ilvl w:val="0"/>
          <w:numId w:val="4"/>
        </w:numPr>
        <w:tabs>
          <w:tab w:val="left" w:pos="888" w:leader="none"/>
          <w:tab w:val="left" w:pos="889" w:leader="none"/>
          <w:tab w:val="left" w:pos="3821" w:leader="none"/>
        </w:tabs>
        <w:spacing w:before="136" w:after="0" w:line="240"/>
        <w:ind w:right="0" w:left="888" w:hanging="66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work:</w:t>
        <w:tab/>
        <w:t xml:space="preserve">College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Natural</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Resources</w:t>
      </w:r>
    </w:p>
    <w:p>
      <w:pPr>
        <w:tabs>
          <w:tab w:val="left" w:pos="941"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941" w:leader="none"/>
        </w:tabs>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Main</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Purpose of</w:t>
      </w: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the</w:t>
      </w:r>
      <w:r>
        <w:rPr>
          <w:rFonts w:ascii="Times New Roman" w:hAnsi="Times New Roman" w:cs="Times New Roman" w:eastAsia="Times New Roman"/>
          <w:b/>
          <w:color w:val="auto"/>
          <w:spacing w:val="-5"/>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Job:</w:t>
      </w:r>
    </w:p>
    <w:p>
      <w:pPr>
        <w:spacing w:before="127" w:after="0" w:line="276"/>
        <w:ind w:right="217" w:left="2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main purpose of the job is to assist the President of the College to maintain and implement academic regulations/guidelines in the college and support and implement innovative approaches to learning, teaching and quality across the college, including resource management and report to AB on the maintenance of the health of academic programmes in the college.</w:t>
      </w:r>
    </w:p>
    <w:p>
      <w:pPr>
        <w:spacing w:before="127" w:after="0" w:line="276"/>
        <w:ind w:right="217"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3. Representative</w:t>
      </w:r>
      <w:r>
        <w:rPr>
          <w:rFonts w:ascii="Times New Roman" w:hAnsi="Times New Roman" w:cs="Times New Roman" w:eastAsia="Times New Roman"/>
          <w:b/>
          <w:color w:val="auto"/>
          <w:spacing w:val="-8"/>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Work</w:t>
      </w:r>
      <w:r>
        <w:rPr>
          <w:rFonts w:ascii="Times New Roman" w:hAnsi="Times New Roman" w:cs="Times New Roman" w:eastAsia="Times New Roman"/>
          <w:b/>
          <w:color w:val="auto"/>
          <w:spacing w:val="-13"/>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Activities:</w:t>
      </w:r>
    </w:p>
    <w:p>
      <w:p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Play an active role in University corporate management, the maintenance of academic standards, and the development of University policy through active participation in, and contribution to, University Committees, in particular the Academic Board, CULT Advisory Committee and other cross-institutional forums.</w:t>
      </w:r>
    </w:p>
    <w:p>
      <w:pPr>
        <w:numPr>
          <w:ilvl w:val="0"/>
          <w:numId w:val="11"/>
        </w:numPr>
        <w:tabs>
          <w:tab w:val="left" w:pos="841" w:leader="none"/>
        </w:tabs>
        <w:spacing w:before="6" w:after="0" w:line="276"/>
        <w:ind w:right="0" w:left="4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 the development of college’s academic strategic plan and annual academic operational plan, and oversee and report on policies, procedures and services that are aligned to meeting the targets of these plans. </w:t>
      </w:r>
    </w:p>
    <w:p>
      <w:pPr>
        <w:numPr>
          <w:ilvl w:val="0"/>
          <w:numId w:val="11"/>
        </w:numPr>
        <w:tabs>
          <w:tab w:val="left" w:pos="841" w:leader="none"/>
        </w:tabs>
        <w:spacing w:before="6" w:after="0" w:line="276"/>
        <w:ind w:right="0" w:left="4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 the provision of academic services to support teaching programmes and delivery initiatives at the college, including the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 and approval processes of programme planning approval documents,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 and development of programmes taking into account collaborative working systems and collective judgment.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Documentation and due processes of programme validation.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Preparation and maintenance of definitive programme documents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Learner grievances and appeal related to teaching and learning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Learner support (remediation, un-credited courses for personal development of learners, etc) related to teaching and learning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Selection and admission of learners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 of academics and academic support staff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implement and monitor an appropriate regime of academic quality assurance, and collaborate with relevant programme leaders and organizational units to provide an integrated approach to quality improvement and regular reporting,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Annual monitoring of programmes and scheduled reporting through annual programme reports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Management of external examiners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Study on first destination (employment) of graduates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Periodic review of programmes in operation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 internal QA practices &amp; processes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 and smooth operation of College Academic Committee and Programme Board of Examiners.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Liaise with other colleges of RUB/OVC and external organizations within Bhutan and overseas to promote the University’s programmes and academic services and image in local, national and international arenas, including representing the college at conferences and forums and generally employing a range of strategies to keep abreast of the latest and emerging developments in academic services, particularly as they relate to higher education.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Support effective communication and information flows within the college’s various academic organizational units, and with other parts of the college’s community, though an active communication strategy.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Maintain and enhance individual standing as an academic through professional academic development activities including research.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the Dean of Academic Affairs is also expected to be an active participant in teaching in the colleges. This should be demonstrated by teaching at least a module every semester. The teaching responsibility beyond this including designing and development of programs in his/her area of competency will be determined by the respective colleges based on the need of the colleges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Contribute to the teaching/learning profile of the college, and of the University generally, with particular emphasis on fostering the development and advancement of academic practices, content development and delivery, distance education, e-learning and continuing professional development.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Chair and participate in meetings of boards, committees, working parties and other forums as appropriate and participate actively in community affairs and represent the college in internal and external forums as required.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Lead and support the identification, development and implementation of new projects and initiatives which support learning and teaching, programme development and quality enhancement at the college.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Line manages designated post holders (heads of departments, etc) and takes responsibility for performance review and development of such positions.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 academic resource allocation by overseeing and coordinating the preparation of annual budgets related to learning/teaching, programme development and quality enhancement for consideration by the University and the monitoring of effective utilization of allocated funds.</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Represent the President as and when required. </w:t>
      </w:r>
    </w:p>
    <w:p>
      <w:pPr>
        <w:numPr>
          <w:ilvl w:val="0"/>
          <w:numId w:val="11"/>
        </w:numPr>
        <w:tabs>
          <w:tab w:val="left" w:pos="841" w:leader="none"/>
        </w:tabs>
        <w:spacing w:before="6"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Undertake other responsibilities as deemed appropriate by the President from time to time </w:t>
      </w:r>
    </w:p>
    <w:p>
      <w:pPr>
        <w:tabs>
          <w:tab w:val="left" w:pos="940" w:leader="none"/>
          <w:tab w:val="left" w:pos="94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tabs>
          <w:tab w:val="left" w:pos="940" w:leader="none"/>
          <w:tab w:val="left" w:pos="941" w:leader="none"/>
        </w:tabs>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4"/>
          <w:shd w:fill="auto" w:val="clear"/>
        </w:rPr>
        <w:t xml:space="preserve">Minimum</w:t>
      </w:r>
      <w:r>
        <w:rPr>
          <w:rFonts w:ascii="Times New Roman" w:hAnsi="Times New Roman" w:cs="Times New Roman" w:eastAsia="Times New Roman"/>
          <w:b/>
          <w:color w:val="auto"/>
          <w:spacing w:val="-1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Eligibility</w:t>
      </w:r>
      <w:r>
        <w:rPr>
          <w:rFonts w:ascii="Times New Roman" w:hAnsi="Times New Roman" w:cs="Times New Roman" w:eastAsia="Times New Roman"/>
          <w:b/>
          <w:color w:val="auto"/>
          <w:spacing w:val="-1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Criteria:</w:t>
      </w:r>
    </w:p>
    <w:p>
      <w:pPr>
        <w:numPr>
          <w:ilvl w:val="0"/>
          <w:numId w:val="14"/>
        </w:numPr>
        <w:tabs>
          <w:tab w:val="left" w:pos="840" w:leader="none"/>
          <w:tab w:val="left" w:pos="841" w:leader="none"/>
        </w:tabs>
        <w:spacing w:before="131" w:after="0" w:line="240"/>
        <w:ind w:right="0" w:left="840" w:hanging="72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Qualification: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Minimum</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Masters’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Degree</w:t>
      </w:r>
    </w:p>
    <w:p>
      <w:pPr>
        <w:numPr>
          <w:ilvl w:val="0"/>
          <w:numId w:val="14"/>
        </w:numPr>
        <w:tabs>
          <w:tab w:val="left" w:pos="840" w:leader="none"/>
          <w:tab w:val="left" w:pos="841" w:leader="none"/>
        </w:tabs>
        <w:spacing w:before="131" w:after="0" w:line="240"/>
        <w:ind w:right="0" w:left="840" w:hanging="72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Position</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level:</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above</w:t>
      </w:r>
    </w:p>
    <w:p>
      <w:pPr>
        <w:numPr>
          <w:ilvl w:val="0"/>
          <w:numId w:val="14"/>
        </w:numPr>
        <w:tabs>
          <w:tab w:val="left" w:pos="840" w:leader="none"/>
          <w:tab w:val="left" w:pos="841" w:leader="none"/>
        </w:tabs>
        <w:spacing w:before="131" w:after="0" w:line="240"/>
        <w:ind w:right="0" w:left="840" w:hanging="72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regular staff</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college</w:t>
      </w:r>
    </w:p>
    <w:p>
      <w:pPr>
        <w:numPr>
          <w:ilvl w:val="0"/>
          <w:numId w:val="14"/>
        </w:numPr>
        <w:tabs>
          <w:tab w:val="left" w:pos="840" w:leader="none"/>
          <w:tab w:val="left" w:pos="841" w:leader="none"/>
        </w:tabs>
        <w:spacing w:before="131" w:after="0" w:line="240"/>
        <w:ind w:right="0" w:left="840" w:hanging="72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Skills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Abilities</w:t>
      </w:r>
    </w:p>
    <w:p>
      <w:pPr>
        <w:spacing w:before="141" w:after="0" w:line="276"/>
        <w:ind w:right="190" w:left="11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dean candidate should be someone with proven academic/professional competence, very good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communication</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skills,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high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interpersonal</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skills, effective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team</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building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competence, ability</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plan, strategize, execute and show results, ability to write quality proposals/policies/reports, 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ability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work</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effectively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teams.  </w:t>
      </w:r>
    </w:p>
    <w:p>
      <w:pPr>
        <w:numPr>
          <w:ilvl w:val="0"/>
          <w:numId w:val="16"/>
        </w:numPr>
        <w:spacing w:before="141" w:after="0" w:line="276"/>
        <w:ind w:right="190" w:left="840" w:hanging="72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Experience</w:t>
      </w:r>
    </w:p>
    <w:p>
      <w:pPr>
        <w:spacing w:before="142" w:after="0" w:line="276"/>
        <w:ind w:right="190" w:left="11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Dean of Academic Affairs must have sufficient experience of having written modules, having developed and managed programme(s), having reviewed others’ academic writings, having facilitated PD programme(s) for other initiatives to support or improve teaching, learning and assessment.  </w:t>
      </w:r>
    </w:p>
    <w:p>
      <w:pPr>
        <w:numPr>
          <w:ilvl w:val="0"/>
          <w:numId w:val="18"/>
        </w:numPr>
        <w:spacing w:before="142" w:after="0" w:line="276"/>
        <w:ind w:right="190" w:left="1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Leadership</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w:t>
      </w:r>
      <w:r>
        <w:rPr>
          <w:rFonts w:ascii="Times New Roman" w:hAnsi="Times New Roman" w:cs="Times New Roman" w:eastAsia="Times New Roman"/>
          <w:color w:val="auto"/>
          <w:spacing w:val="2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have</w:t>
      </w:r>
      <w:r>
        <w:rPr>
          <w:rFonts w:ascii="Times New Roman" w:hAnsi="Times New Roman" w:cs="Times New Roman" w:eastAsia="Times New Roman"/>
          <w:color w:val="auto"/>
          <w:spacing w:val="2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served</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Programme</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Leader</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Head</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Department</w:t>
      </w:r>
      <w:r>
        <w:rPr>
          <w:rFonts w:ascii="Times New Roman" w:hAnsi="Times New Roman" w:cs="Times New Roman" w:eastAsia="Times New Roman"/>
          <w:color w:val="auto"/>
          <w:spacing w:val="3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(HoD)</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leadership</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positions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roles as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judged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appropriate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Dean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Search</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Committee. </w:t>
      </w:r>
    </w:p>
    <w:p>
      <w:pPr>
        <w:tabs>
          <w:tab w:val="left" w:pos="940" w:leader="none"/>
          <w:tab w:val="left" w:pos="941" w:leader="none"/>
        </w:tabs>
        <w:spacing w:before="122"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Terms</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of</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appointment:</w:t>
      </w:r>
    </w:p>
    <w:p>
      <w:pPr>
        <w:numPr>
          <w:ilvl w:val="0"/>
          <w:numId w:val="21"/>
        </w:numPr>
        <w:tabs>
          <w:tab w:val="left" w:pos="180" w:leader="none"/>
          <w:tab w:val="left" w:pos="840" w:leader="none"/>
          <w:tab w:val="left" w:pos="841" w:leader="none"/>
        </w:tabs>
        <w:spacing w:before="131" w:after="0" w:line="276"/>
        <w:ind w:right="470" w:left="90" w:firstLine="2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Deans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appointed for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years,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renewable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another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years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based on</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performance, feedback from staff, and the President’s overall assessment of his/her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leadership</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ability</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impact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college.</w:t>
      </w:r>
    </w:p>
    <w:p>
      <w:pPr>
        <w:numPr>
          <w:ilvl w:val="0"/>
          <w:numId w:val="21"/>
        </w:numPr>
        <w:tabs>
          <w:tab w:val="left" w:pos="840" w:leader="none"/>
          <w:tab w:val="left" w:pos="841" w:leader="none"/>
        </w:tabs>
        <w:spacing w:before="9" w:after="0" w:line="240"/>
        <w:ind w:right="0" w:left="840" w:hanging="72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Dean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eligible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reapply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 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same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position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 another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Dean’s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position.</w:t>
      </w:r>
    </w:p>
    <w:p>
      <w:pPr>
        <w:numPr>
          <w:ilvl w:val="0"/>
          <w:numId w:val="21"/>
        </w:numPr>
        <w:tabs>
          <w:tab w:val="left" w:pos="840" w:leader="none"/>
          <w:tab w:val="left" w:pos="841" w:leader="none"/>
        </w:tabs>
        <w:spacing w:before="136" w:after="0" w:line="240"/>
        <w:ind w:right="0" w:left="840" w:hanging="72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load shall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allocated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depending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situation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college.</w:t>
      </w:r>
    </w:p>
    <w:p>
      <w:pPr>
        <w:numPr>
          <w:ilvl w:val="0"/>
          <w:numId w:val="21"/>
        </w:numPr>
        <w:tabs>
          <w:tab w:val="left" w:pos="840" w:leader="none"/>
          <w:tab w:val="left" w:pos="841" w:leader="none"/>
        </w:tabs>
        <w:spacing w:before="136" w:after="0" w:line="240"/>
        <w:ind w:right="0" w:left="840" w:hanging="72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Allowance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 be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paid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determined</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time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time.</w:t>
      </w:r>
    </w:p>
    <w:p>
      <w:pPr>
        <w:numPr>
          <w:ilvl w:val="0"/>
          <w:numId w:val="21"/>
        </w:numPr>
        <w:tabs>
          <w:tab w:val="left" w:pos="840" w:leader="none"/>
          <w:tab w:val="left" w:pos="841" w:leader="none"/>
        </w:tabs>
        <w:spacing w:before="135" w:after="0" w:line="240"/>
        <w:ind w:right="246" w:left="90" w:firstLine="2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Dean</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continuously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out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11"/>
          <w:position w:val="0"/>
          <w:sz w:val="24"/>
          <w:shd w:fill="auto" w:val="clear"/>
        </w:rPr>
        <w:t xml:space="preserve">Station</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more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than</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six</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months,</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position</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advertised.</w:t>
      </w:r>
    </w:p>
    <w:p>
      <w:pPr>
        <w:numPr>
          <w:ilvl w:val="0"/>
          <w:numId w:val="21"/>
        </w:numPr>
        <w:tabs>
          <w:tab w:val="left" w:pos="840" w:leader="none"/>
          <w:tab w:val="left" w:pos="841" w:leader="none"/>
        </w:tabs>
        <w:spacing w:before="0" w:after="0" w:line="276"/>
        <w:ind w:right="135" w:left="90" w:firstLine="2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Non-performing Deans shall be asked to discontinue. The President will report to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College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Management Committee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regarding</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consistent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non-performance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Dean</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based</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sufficient</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evidence 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propose for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discontinuing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latter’s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w:t>
      </w:r>
    </w:p>
    <w:p>
      <w:pPr>
        <w:numPr>
          <w:ilvl w:val="0"/>
          <w:numId w:val="21"/>
        </w:numPr>
        <w:tabs>
          <w:tab w:val="left" w:pos="840" w:leader="none"/>
          <w:tab w:val="left" w:pos="841" w:leader="none"/>
        </w:tabs>
        <w:spacing w:before="5" w:after="0" w:line="276"/>
        <w:ind w:right="268" w:left="90" w:firstLine="2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Deans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allowed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apply</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another Dean’s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position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before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completion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their</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current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position. </w:t>
      </w:r>
    </w:p>
    <w:p>
      <w:pPr>
        <w:tabs>
          <w:tab w:val="left" w:pos="840" w:leader="none"/>
          <w:tab w:val="left" w:pos="841" w:leader="none"/>
        </w:tabs>
        <w:spacing w:before="5" w:after="0" w:line="276"/>
        <w:ind w:right="268" w:left="840" w:firstLine="0"/>
        <w:jc w:val="both"/>
        <w:rPr>
          <w:rFonts w:ascii="Times New Roman" w:hAnsi="Times New Roman" w:cs="Times New Roman" w:eastAsia="Times New Roman"/>
          <w:color w:val="auto"/>
          <w:spacing w:val="0"/>
          <w:position w:val="0"/>
          <w:sz w:val="24"/>
          <w:shd w:fill="auto" w:val="clear"/>
        </w:rPr>
      </w:pPr>
    </w:p>
    <w:p>
      <w:pPr>
        <w:spacing w:before="141" w:after="0" w:line="276"/>
        <w:ind w:right="190" w:left="0" w:firstLine="0"/>
        <w:jc w:val="both"/>
        <w:rPr>
          <w:rFonts w:ascii="Times New Roman" w:hAnsi="Times New Roman" w:cs="Times New Roman" w:eastAsia="Times New Roman"/>
          <w:color w:val="auto"/>
          <w:spacing w:val="0"/>
          <w:position w:val="0"/>
          <w:sz w:val="24"/>
          <w:shd w:fill="auto" w:val="clear"/>
        </w:rPr>
      </w:pPr>
    </w:p>
    <w:p>
      <w:pPr>
        <w:spacing w:before="4" w:after="0" w:line="240"/>
        <w:ind w:right="0" w:left="0" w:firstLine="0"/>
        <w:jc w:val="left"/>
        <w:rPr>
          <w:rFonts w:ascii="Times New Roman" w:hAnsi="Times New Roman" w:cs="Times New Roman" w:eastAsia="Times New Roman"/>
          <w:color w:val="auto"/>
          <w:spacing w:val="0"/>
          <w:position w:val="0"/>
          <w:sz w:val="17"/>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11">
    <w:abstractNumId w:val="24"/>
  </w:num>
  <w:num w:numId="14">
    <w:abstractNumId w:val="18"/>
  </w:num>
  <w:num w:numId="16">
    <w:abstractNumId w:val="12"/>
  </w:num>
  <w:num w:numId="18">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